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270F33" w14:textId="77777777" w:rsidR="005E344F" w:rsidRPr="005E344F" w:rsidRDefault="005E344F" w:rsidP="005E344F">
      <w:pPr>
        <w:jc w:val="center"/>
        <w:rPr>
          <w:rFonts w:ascii="Bookman Old Style" w:hAnsi="Bookman Old Style"/>
          <w:sz w:val="24"/>
          <w:szCs w:val="24"/>
        </w:rPr>
      </w:pPr>
      <w:r w:rsidRPr="005E344F">
        <w:rPr>
          <w:rFonts w:ascii="Bookman Old Style" w:hAnsi="Bookman Old Style"/>
          <w:sz w:val="24"/>
          <w:szCs w:val="24"/>
        </w:rPr>
        <w:t>[TO BE PUBLISHED IN THE GAZETTE OF INDIA, EXTRAORDINARY, Part III, SECTION 4]</w:t>
      </w:r>
    </w:p>
    <w:p w14:paraId="3C7EFB8F" w14:textId="77777777" w:rsidR="005E344F" w:rsidRPr="005E344F" w:rsidRDefault="005E344F" w:rsidP="005E344F">
      <w:pPr>
        <w:jc w:val="center"/>
        <w:rPr>
          <w:rFonts w:ascii="Bookman Old Style" w:hAnsi="Bookman Old Style"/>
          <w:sz w:val="24"/>
          <w:szCs w:val="24"/>
        </w:rPr>
      </w:pPr>
      <w:r w:rsidRPr="005E344F">
        <w:rPr>
          <w:rFonts w:ascii="Bookman Old Style" w:hAnsi="Bookman Old Style"/>
          <w:b/>
          <w:bCs/>
          <w:sz w:val="24"/>
          <w:szCs w:val="24"/>
        </w:rPr>
        <w:t>INSTITUTE OF ACTUARIES OF INDIA</w:t>
      </w:r>
    </w:p>
    <w:p w14:paraId="6E85634E" w14:textId="77777777" w:rsidR="005E344F" w:rsidRPr="005E344F" w:rsidRDefault="005E344F" w:rsidP="005E344F">
      <w:pPr>
        <w:rPr>
          <w:rFonts w:ascii="Bookman Old Style" w:hAnsi="Bookman Old Style"/>
          <w:sz w:val="24"/>
          <w:szCs w:val="24"/>
        </w:rPr>
      </w:pPr>
      <w:r w:rsidRPr="005E344F">
        <w:rPr>
          <w:rFonts w:ascii="Bookman Old Style" w:hAnsi="Bookman Old Style"/>
          <w:b/>
          <w:bCs/>
          <w:sz w:val="24"/>
          <w:szCs w:val="24"/>
        </w:rPr>
        <w:t>NOTIFICATION</w:t>
      </w:r>
      <w:r w:rsidRPr="005E344F">
        <w:rPr>
          <w:rFonts w:ascii="Bookman Old Style" w:hAnsi="Bookman Old Style"/>
          <w:sz w:val="24"/>
          <w:szCs w:val="24"/>
        </w:rPr>
        <w:br/>
        <w:t>Dated, the _______, 2023</w:t>
      </w:r>
    </w:p>
    <w:p w14:paraId="0E3F96AF" w14:textId="3C6CB9E1" w:rsidR="005E344F" w:rsidRPr="005E344F" w:rsidRDefault="005E344F" w:rsidP="005E344F">
      <w:pPr>
        <w:jc w:val="both"/>
        <w:rPr>
          <w:rFonts w:ascii="Bookman Old Style" w:hAnsi="Bookman Old Style"/>
          <w:sz w:val="24"/>
          <w:szCs w:val="24"/>
        </w:rPr>
      </w:pPr>
      <w:r w:rsidRPr="00EF6285">
        <w:rPr>
          <w:rFonts w:ascii="Bookman Old Style" w:hAnsi="Bookman Old Style"/>
          <w:sz w:val="24"/>
          <w:szCs w:val="24"/>
          <w:lang w:val="pt-BR"/>
        </w:rPr>
        <w:t xml:space="preserve">F. No. M-18012/03/2008-Ins.III (E).— </w:t>
      </w:r>
      <w:r w:rsidRPr="005E344F">
        <w:rPr>
          <w:rFonts w:ascii="Bookman Old Style" w:hAnsi="Bookman Old Style"/>
          <w:sz w:val="24"/>
          <w:szCs w:val="24"/>
        </w:rPr>
        <w:t>In light of the powers vested by clauses (</w:t>
      </w:r>
      <w:r>
        <w:rPr>
          <w:rFonts w:ascii="Bookman Old Style" w:hAnsi="Bookman Old Style"/>
          <w:sz w:val="24"/>
          <w:szCs w:val="24"/>
        </w:rPr>
        <w:t>o</w:t>
      </w:r>
      <w:r w:rsidRPr="005E344F">
        <w:rPr>
          <w:rFonts w:ascii="Bookman Old Style" w:hAnsi="Bookman Old Style"/>
          <w:sz w:val="24"/>
          <w:szCs w:val="24"/>
        </w:rPr>
        <w:t>) of sub-section (2) of section 56 read with sub-section (</w:t>
      </w:r>
      <w:r>
        <w:rPr>
          <w:rFonts w:ascii="Bookman Old Style" w:hAnsi="Bookman Old Style"/>
          <w:sz w:val="24"/>
          <w:szCs w:val="24"/>
        </w:rPr>
        <w:t>2</w:t>
      </w:r>
      <w:r w:rsidRPr="005E344F">
        <w:rPr>
          <w:rFonts w:ascii="Bookman Old Style" w:hAnsi="Bookman Old Style"/>
          <w:sz w:val="24"/>
          <w:szCs w:val="24"/>
        </w:rPr>
        <w:t xml:space="preserve">) of section </w:t>
      </w:r>
      <w:r>
        <w:rPr>
          <w:rFonts w:ascii="Bookman Old Style" w:hAnsi="Bookman Old Style"/>
          <w:sz w:val="24"/>
          <w:szCs w:val="24"/>
        </w:rPr>
        <w:t>5</w:t>
      </w:r>
      <w:r w:rsidRPr="005E344F">
        <w:rPr>
          <w:rFonts w:ascii="Bookman Old Style" w:hAnsi="Bookman Old Style"/>
          <w:sz w:val="24"/>
          <w:szCs w:val="24"/>
        </w:rPr>
        <w:t>1 of the Actuaries Act, 2006 (35 of 2006), and with the prior approval of the Central Government, the Council of the Institute of Actuaries of India (Council) hereby presents the following draft regulations.</w:t>
      </w:r>
    </w:p>
    <w:p w14:paraId="6222E437" w14:textId="77777777" w:rsidR="005E344F" w:rsidRDefault="005E344F" w:rsidP="005E344F">
      <w:pPr>
        <w:rPr>
          <w:rFonts w:ascii="Bookman Old Style" w:hAnsi="Bookman Old Style"/>
          <w:b/>
          <w:bCs/>
          <w:sz w:val="24"/>
          <w:szCs w:val="24"/>
        </w:rPr>
      </w:pPr>
    </w:p>
    <w:p w14:paraId="01B049AB" w14:textId="77777777" w:rsidR="005E344F" w:rsidRDefault="005E344F" w:rsidP="005E344F">
      <w:pPr>
        <w:rPr>
          <w:rFonts w:ascii="Bookman Old Style" w:hAnsi="Bookman Old Style"/>
          <w:b/>
          <w:bCs/>
          <w:sz w:val="24"/>
          <w:szCs w:val="24"/>
        </w:rPr>
      </w:pPr>
    </w:p>
    <w:p w14:paraId="18A4B7C7" w14:textId="77777777" w:rsidR="005E344F" w:rsidRDefault="005E344F" w:rsidP="005E344F">
      <w:pPr>
        <w:rPr>
          <w:rFonts w:ascii="Bookman Old Style" w:hAnsi="Bookman Old Style"/>
          <w:b/>
          <w:bCs/>
          <w:sz w:val="24"/>
          <w:szCs w:val="24"/>
        </w:rPr>
      </w:pPr>
      <w:r w:rsidRPr="005E344F">
        <w:rPr>
          <w:rFonts w:ascii="Bookman Old Style" w:hAnsi="Bookman Old Style"/>
          <w:b/>
          <w:bCs/>
          <w:sz w:val="24"/>
          <w:szCs w:val="24"/>
        </w:rPr>
        <w:t>DRAFT REGULATIONS</w:t>
      </w:r>
      <w:r w:rsidRPr="005E344F">
        <w:rPr>
          <w:rFonts w:ascii="Bookman Old Style" w:hAnsi="Bookman Old Style"/>
          <w:sz w:val="24"/>
          <w:szCs w:val="24"/>
        </w:rPr>
        <w:br/>
      </w:r>
    </w:p>
    <w:p w14:paraId="46E33613" w14:textId="77777777" w:rsidR="005E344F" w:rsidRDefault="005E344F" w:rsidP="005E344F">
      <w:pPr>
        <w:rPr>
          <w:rFonts w:ascii="Bookman Old Style" w:hAnsi="Bookman Old Style"/>
          <w:b/>
          <w:bCs/>
          <w:sz w:val="24"/>
          <w:szCs w:val="24"/>
        </w:rPr>
      </w:pPr>
      <w:r w:rsidRPr="005E344F">
        <w:rPr>
          <w:rFonts w:ascii="Bookman Old Style" w:hAnsi="Bookman Old Style"/>
          <w:b/>
          <w:bCs/>
          <w:sz w:val="24"/>
          <w:szCs w:val="24"/>
        </w:rPr>
        <w:t>CHAPTER I</w:t>
      </w:r>
      <w:r w:rsidRPr="005E344F">
        <w:rPr>
          <w:rFonts w:ascii="Bookman Old Style" w:hAnsi="Bookman Old Style"/>
          <w:sz w:val="24"/>
          <w:szCs w:val="24"/>
        </w:rPr>
        <w:br/>
      </w:r>
    </w:p>
    <w:p w14:paraId="3884680E" w14:textId="022B0172" w:rsidR="005E344F" w:rsidRPr="005E344F" w:rsidRDefault="005E344F" w:rsidP="005E344F">
      <w:pPr>
        <w:rPr>
          <w:rFonts w:ascii="Bookman Old Style" w:hAnsi="Bookman Old Style"/>
          <w:sz w:val="24"/>
          <w:szCs w:val="24"/>
        </w:rPr>
      </w:pPr>
      <w:r w:rsidRPr="005E344F">
        <w:rPr>
          <w:rFonts w:ascii="Bookman Old Style" w:hAnsi="Bookman Old Style"/>
          <w:b/>
          <w:bCs/>
          <w:sz w:val="24"/>
          <w:szCs w:val="24"/>
        </w:rPr>
        <w:t>PRELIMINARY</w:t>
      </w:r>
    </w:p>
    <w:p w14:paraId="4A98A891" w14:textId="77777777" w:rsidR="005E344F" w:rsidRPr="005E344F" w:rsidRDefault="005E344F" w:rsidP="005E344F">
      <w:pPr>
        <w:numPr>
          <w:ilvl w:val="0"/>
          <w:numId w:val="1"/>
        </w:numPr>
        <w:rPr>
          <w:rFonts w:ascii="Bookman Old Style" w:hAnsi="Bookman Old Style"/>
          <w:sz w:val="24"/>
          <w:szCs w:val="24"/>
        </w:rPr>
      </w:pPr>
      <w:r w:rsidRPr="005E344F">
        <w:rPr>
          <w:rFonts w:ascii="Bookman Old Style" w:hAnsi="Bookman Old Style"/>
          <w:b/>
          <w:bCs/>
          <w:sz w:val="24"/>
          <w:szCs w:val="24"/>
        </w:rPr>
        <w:t>Short title and commencement.</w:t>
      </w:r>
      <w:r w:rsidRPr="005E344F">
        <w:rPr>
          <w:rFonts w:ascii="Bookman Old Style" w:hAnsi="Bookman Old Style"/>
          <w:sz w:val="24"/>
          <w:szCs w:val="24"/>
        </w:rPr>
        <w:br/>
        <w:t>(1) These regulations shall be referred to as the Institute of Actuaries of India (Principle of Reciprocal Treatment) Regulations, 2023.</w:t>
      </w:r>
      <w:r w:rsidRPr="005E344F">
        <w:rPr>
          <w:rFonts w:ascii="Bookman Old Style" w:hAnsi="Bookman Old Style"/>
          <w:sz w:val="24"/>
          <w:szCs w:val="24"/>
        </w:rPr>
        <w:br/>
        <w:t>(2) They shall be effective from the date of their final publication in the Official Gazette.</w:t>
      </w:r>
    </w:p>
    <w:p w14:paraId="3BA77294" w14:textId="734E29C0" w:rsidR="006E68F0" w:rsidRDefault="005E344F" w:rsidP="00295C14">
      <w:pPr>
        <w:numPr>
          <w:ilvl w:val="0"/>
          <w:numId w:val="7"/>
        </w:numPr>
        <w:jc w:val="both"/>
        <w:rPr>
          <w:rFonts w:ascii="Bookman Old Style" w:hAnsi="Bookman Old Style"/>
          <w:sz w:val="24"/>
          <w:szCs w:val="24"/>
        </w:rPr>
      </w:pPr>
      <w:r w:rsidRPr="00012FEC">
        <w:rPr>
          <w:rFonts w:ascii="Bookman Old Style" w:hAnsi="Bookman Old Style"/>
          <w:b/>
          <w:bCs/>
          <w:sz w:val="24"/>
          <w:szCs w:val="24"/>
        </w:rPr>
        <w:t>Definitions.</w:t>
      </w:r>
      <w:r w:rsidRPr="00012FEC">
        <w:rPr>
          <w:rFonts w:ascii="Bookman Old Style" w:hAnsi="Bookman Old Style"/>
          <w:sz w:val="24"/>
          <w:szCs w:val="24"/>
        </w:rPr>
        <w:br/>
        <w:t>(1) In the context of these regulations:</w:t>
      </w:r>
      <w:r w:rsidRPr="00012FEC">
        <w:rPr>
          <w:rFonts w:ascii="Bookman Old Style" w:hAnsi="Bookman Old Style"/>
          <w:sz w:val="24"/>
          <w:szCs w:val="24"/>
        </w:rPr>
        <w:br/>
      </w:r>
      <w:r w:rsidRPr="00295C14">
        <w:rPr>
          <w:rFonts w:ascii="Bookman Old Style" w:hAnsi="Bookman Old Style"/>
          <w:sz w:val="24"/>
          <w:szCs w:val="24"/>
        </w:rPr>
        <w:t xml:space="preserve"> </w:t>
      </w:r>
    </w:p>
    <w:p w14:paraId="4FCAE839" w14:textId="77777777" w:rsidR="006E68F0" w:rsidRDefault="005E344F" w:rsidP="006E68F0">
      <w:pPr>
        <w:numPr>
          <w:ilvl w:val="1"/>
          <w:numId w:val="7"/>
        </w:numPr>
        <w:jc w:val="both"/>
        <w:rPr>
          <w:rFonts w:ascii="Bookman Old Style" w:hAnsi="Bookman Old Style"/>
          <w:sz w:val="24"/>
          <w:szCs w:val="24"/>
        </w:rPr>
      </w:pPr>
      <w:r w:rsidRPr="00295C14">
        <w:rPr>
          <w:rFonts w:ascii="Bookman Old Style" w:hAnsi="Bookman Old Style"/>
          <w:sz w:val="24"/>
          <w:szCs w:val="24"/>
        </w:rPr>
        <w:t>"Act" signifies the Actuaries Act, 2006 (35 of 2006);</w:t>
      </w:r>
    </w:p>
    <w:p w14:paraId="10EC20E6" w14:textId="3FE1C66C" w:rsidR="006E68F0" w:rsidRDefault="00EF6285" w:rsidP="006E68F0">
      <w:pPr>
        <w:numPr>
          <w:ilvl w:val="1"/>
          <w:numId w:val="7"/>
        </w:numPr>
        <w:jc w:val="both"/>
        <w:rPr>
          <w:rFonts w:ascii="Bookman Old Style" w:hAnsi="Bookman Old Style"/>
          <w:sz w:val="24"/>
          <w:szCs w:val="24"/>
        </w:rPr>
      </w:pPr>
      <w:r w:rsidRPr="00295C14">
        <w:rPr>
          <w:rFonts w:ascii="Bookman Old Style" w:hAnsi="Bookman Old Style"/>
          <w:sz w:val="24"/>
          <w:szCs w:val="24"/>
        </w:rPr>
        <w:t>“Institute" means the Institute of Actuaries of India constituted under section 3</w:t>
      </w:r>
      <w:r w:rsidR="00FF17C8">
        <w:rPr>
          <w:rFonts w:ascii="Bookman Old Style" w:hAnsi="Bookman Old Style"/>
          <w:sz w:val="24"/>
          <w:szCs w:val="24"/>
        </w:rPr>
        <w:t xml:space="preserve"> of the Act</w:t>
      </w:r>
      <w:r w:rsidRPr="00295C14">
        <w:rPr>
          <w:rFonts w:ascii="Bookman Old Style" w:hAnsi="Bookman Old Style"/>
          <w:sz w:val="24"/>
          <w:szCs w:val="24"/>
        </w:rPr>
        <w:t>;</w:t>
      </w:r>
    </w:p>
    <w:p w14:paraId="168CB5DB" w14:textId="7A43E717" w:rsidR="006E68F0" w:rsidRDefault="002B521A" w:rsidP="006E68F0">
      <w:pPr>
        <w:numPr>
          <w:ilvl w:val="1"/>
          <w:numId w:val="7"/>
        </w:numPr>
        <w:jc w:val="both"/>
        <w:rPr>
          <w:rFonts w:ascii="Bookman Old Style" w:hAnsi="Bookman Old Style"/>
          <w:sz w:val="24"/>
          <w:szCs w:val="24"/>
        </w:rPr>
      </w:pPr>
      <w:r>
        <w:rPr>
          <w:rFonts w:ascii="Bookman Old Style" w:hAnsi="Bookman Old Style"/>
          <w:sz w:val="24"/>
          <w:szCs w:val="24"/>
        </w:rPr>
        <w:t>‘</w:t>
      </w:r>
      <w:r w:rsidR="00EF6285" w:rsidRPr="006E68F0">
        <w:rPr>
          <w:rFonts w:ascii="Bookman Old Style" w:hAnsi="Bookman Old Style"/>
          <w:sz w:val="24"/>
          <w:szCs w:val="24"/>
        </w:rPr>
        <w:t xml:space="preserve">member’ means </w:t>
      </w:r>
      <w:r w:rsidR="00FF17C8">
        <w:rPr>
          <w:rFonts w:ascii="Bookman Old Style" w:hAnsi="Bookman Old Style"/>
          <w:sz w:val="24"/>
          <w:szCs w:val="24"/>
        </w:rPr>
        <w:t>a member</w:t>
      </w:r>
      <w:r w:rsidR="00EF6285" w:rsidRPr="006E68F0">
        <w:rPr>
          <w:rFonts w:ascii="Bookman Old Style" w:hAnsi="Bookman Old Style"/>
          <w:sz w:val="24"/>
          <w:szCs w:val="24"/>
        </w:rPr>
        <w:t xml:space="preserve"> as defined under </w:t>
      </w:r>
      <w:r w:rsidR="00FF17C8">
        <w:rPr>
          <w:rFonts w:ascii="Bookman Old Style" w:hAnsi="Bookman Old Style"/>
          <w:sz w:val="24"/>
          <w:szCs w:val="24"/>
        </w:rPr>
        <w:t xml:space="preserve">clause (i) of sub-section (1) of section </w:t>
      </w:r>
      <w:r w:rsidR="00EF6285" w:rsidRPr="006E68F0">
        <w:rPr>
          <w:rFonts w:ascii="Bookman Old Style" w:hAnsi="Bookman Old Style"/>
          <w:sz w:val="24"/>
          <w:szCs w:val="24"/>
        </w:rPr>
        <w:t>2 of the Act.;</w:t>
      </w:r>
    </w:p>
    <w:p w14:paraId="24C35DCE" w14:textId="1A055325" w:rsidR="006E68F0" w:rsidRDefault="00295C14" w:rsidP="006E68F0">
      <w:pPr>
        <w:numPr>
          <w:ilvl w:val="1"/>
          <w:numId w:val="7"/>
        </w:numPr>
        <w:jc w:val="both"/>
        <w:rPr>
          <w:rFonts w:ascii="Bookman Old Style" w:hAnsi="Bookman Old Style"/>
          <w:sz w:val="24"/>
          <w:szCs w:val="24"/>
        </w:rPr>
      </w:pPr>
      <w:r w:rsidRPr="006E68F0">
        <w:rPr>
          <w:rFonts w:ascii="Bookman Old Style" w:hAnsi="Bookman Old Style"/>
          <w:sz w:val="24"/>
          <w:szCs w:val="24"/>
        </w:rPr>
        <w:t>‘Register’ means the register of members maintained by the Institute as defined under</w:t>
      </w:r>
      <w:r w:rsidR="00FF17C8">
        <w:rPr>
          <w:rFonts w:ascii="Bookman Old Style" w:hAnsi="Bookman Old Style"/>
          <w:sz w:val="24"/>
          <w:szCs w:val="24"/>
        </w:rPr>
        <w:t xml:space="preserve"> clause (l) of sub-section (1) of section</w:t>
      </w:r>
      <w:r w:rsidRPr="006E68F0">
        <w:rPr>
          <w:rFonts w:ascii="Bookman Old Style" w:hAnsi="Bookman Old Style"/>
          <w:sz w:val="24"/>
          <w:szCs w:val="24"/>
        </w:rPr>
        <w:t xml:space="preserve"> </w:t>
      </w:r>
      <w:r w:rsidR="00FF17C8">
        <w:rPr>
          <w:rFonts w:ascii="Bookman Old Style" w:hAnsi="Bookman Old Style"/>
          <w:sz w:val="24"/>
          <w:szCs w:val="24"/>
        </w:rPr>
        <w:t xml:space="preserve">section </w:t>
      </w:r>
      <w:r w:rsidRPr="006E68F0">
        <w:rPr>
          <w:rFonts w:ascii="Bookman Old Style" w:hAnsi="Bookman Old Style"/>
          <w:sz w:val="24"/>
          <w:szCs w:val="24"/>
        </w:rPr>
        <w:t>2 of the Act;</w:t>
      </w:r>
    </w:p>
    <w:p w14:paraId="32D83DAB" w14:textId="77777777" w:rsidR="006E68F0" w:rsidRDefault="00EF6285" w:rsidP="006E68F0">
      <w:pPr>
        <w:numPr>
          <w:ilvl w:val="1"/>
          <w:numId w:val="7"/>
        </w:numPr>
        <w:jc w:val="both"/>
        <w:rPr>
          <w:rFonts w:ascii="Bookman Old Style" w:hAnsi="Bookman Old Style"/>
          <w:sz w:val="24"/>
          <w:szCs w:val="24"/>
        </w:rPr>
      </w:pPr>
      <w:r w:rsidRPr="006E68F0">
        <w:rPr>
          <w:rFonts w:ascii="Bookman Old Style" w:hAnsi="Bookman Old Style"/>
          <w:sz w:val="24"/>
          <w:szCs w:val="24"/>
        </w:rPr>
        <w:t>‘Section’ and ‘Sub-section’ mean respectively a Section and Sub-section of the Act;</w:t>
      </w:r>
    </w:p>
    <w:p w14:paraId="60EB5918" w14:textId="77777777" w:rsidR="006E68F0" w:rsidRDefault="00EF6285" w:rsidP="006E68F0">
      <w:pPr>
        <w:numPr>
          <w:ilvl w:val="1"/>
          <w:numId w:val="7"/>
        </w:numPr>
        <w:jc w:val="both"/>
        <w:rPr>
          <w:rFonts w:ascii="Bookman Old Style" w:hAnsi="Bookman Old Style"/>
          <w:sz w:val="24"/>
          <w:szCs w:val="24"/>
        </w:rPr>
      </w:pPr>
      <w:r w:rsidRPr="006E68F0">
        <w:rPr>
          <w:rFonts w:ascii="Bookman Old Style" w:hAnsi="Bookman Old Style"/>
          <w:sz w:val="24"/>
          <w:szCs w:val="24"/>
        </w:rPr>
        <w:lastRenderedPageBreak/>
        <w:t>all words and expressions used herein and not defined in these regulations but defined in the Act shall have the meanings respectively assigned to them in the Act.</w:t>
      </w:r>
    </w:p>
    <w:p w14:paraId="7A720703" w14:textId="5C771EF4" w:rsidR="005E344F" w:rsidRPr="006E68F0" w:rsidRDefault="005E344F" w:rsidP="006E68F0">
      <w:pPr>
        <w:numPr>
          <w:ilvl w:val="1"/>
          <w:numId w:val="7"/>
        </w:numPr>
        <w:jc w:val="both"/>
        <w:rPr>
          <w:rFonts w:ascii="Bookman Old Style" w:hAnsi="Bookman Old Style"/>
          <w:sz w:val="24"/>
          <w:szCs w:val="24"/>
        </w:rPr>
      </w:pPr>
      <w:r w:rsidRPr="006E68F0">
        <w:rPr>
          <w:rFonts w:ascii="Bookman Old Style" w:hAnsi="Bookman Old Style"/>
          <w:sz w:val="24"/>
          <w:szCs w:val="24"/>
        </w:rPr>
        <w:t>"Discriminatory Practices" refers to any action, policy, rule, or procedure that differentiates or distinguishes unfavourably between individuals or groups based on nationality, domicile, or any other criteria, without a legitimate or justifiable reason. In the context of these regulations, discriminatory practices particularly pertain to actions taken by foreign countries that prevent or hinder persons of Indian domicile from obtaining professional recognition, practicing their profession, or accessing opportunities in the field of actuarial science, in a manner that is less favourable than the treatment accorded to their own nationals or other foreign nationals.</w:t>
      </w:r>
    </w:p>
    <w:p w14:paraId="7ECE3989" w14:textId="77777777" w:rsidR="005E344F" w:rsidRPr="005E344F" w:rsidRDefault="005E344F" w:rsidP="005E344F">
      <w:pPr>
        <w:ind w:left="720"/>
        <w:rPr>
          <w:rFonts w:ascii="Bookman Old Style" w:hAnsi="Bookman Old Style"/>
          <w:sz w:val="24"/>
          <w:szCs w:val="24"/>
        </w:rPr>
      </w:pPr>
    </w:p>
    <w:p w14:paraId="382FF2BF" w14:textId="77777777" w:rsidR="005E344F" w:rsidRDefault="005E344F" w:rsidP="005E344F">
      <w:pPr>
        <w:jc w:val="center"/>
        <w:rPr>
          <w:rFonts w:ascii="Bookman Old Style" w:hAnsi="Bookman Old Style"/>
          <w:b/>
          <w:bCs/>
          <w:sz w:val="24"/>
          <w:szCs w:val="24"/>
        </w:rPr>
      </w:pPr>
      <w:r w:rsidRPr="005E344F">
        <w:rPr>
          <w:rFonts w:ascii="Bookman Old Style" w:hAnsi="Bookman Old Style"/>
          <w:b/>
          <w:bCs/>
          <w:sz w:val="24"/>
          <w:szCs w:val="24"/>
        </w:rPr>
        <w:t>CHAPTER II</w:t>
      </w:r>
      <w:r w:rsidRPr="005E344F">
        <w:rPr>
          <w:rFonts w:ascii="Bookman Old Style" w:hAnsi="Bookman Old Style"/>
          <w:sz w:val="24"/>
          <w:szCs w:val="24"/>
        </w:rPr>
        <w:br/>
      </w:r>
      <w:r w:rsidRPr="005E344F">
        <w:rPr>
          <w:rFonts w:ascii="Bookman Old Style" w:hAnsi="Bookman Old Style"/>
          <w:b/>
          <w:bCs/>
          <w:sz w:val="24"/>
          <w:szCs w:val="24"/>
        </w:rPr>
        <w:t>PRINCIPLE OF RECIPROCAL TREATMENT</w:t>
      </w:r>
    </w:p>
    <w:p w14:paraId="0A821605" w14:textId="77777777" w:rsidR="005E344F" w:rsidRPr="005E344F" w:rsidRDefault="005E344F" w:rsidP="005E344F">
      <w:pPr>
        <w:jc w:val="center"/>
        <w:rPr>
          <w:rFonts w:ascii="Bookman Old Style" w:hAnsi="Bookman Old Style"/>
          <w:sz w:val="24"/>
          <w:szCs w:val="24"/>
        </w:rPr>
      </w:pPr>
    </w:p>
    <w:p w14:paraId="2E6C27C9" w14:textId="72931659" w:rsidR="005E344F" w:rsidRPr="005E344F" w:rsidRDefault="005E344F" w:rsidP="005E344F">
      <w:pPr>
        <w:numPr>
          <w:ilvl w:val="0"/>
          <w:numId w:val="2"/>
        </w:numPr>
        <w:rPr>
          <w:rFonts w:ascii="Bookman Old Style" w:hAnsi="Bookman Old Style"/>
          <w:sz w:val="24"/>
          <w:szCs w:val="24"/>
        </w:rPr>
      </w:pPr>
      <w:r w:rsidRPr="005E344F">
        <w:rPr>
          <w:rFonts w:ascii="Bookman Old Style" w:hAnsi="Bookman Old Style"/>
          <w:b/>
          <w:bCs/>
          <w:sz w:val="24"/>
          <w:szCs w:val="24"/>
        </w:rPr>
        <w:t>Reciprocal Measures.</w:t>
      </w:r>
      <w:r w:rsidRPr="005E344F">
        <w:rPr>
          <w:rFonts w:ascii="Bookman Old Style" w:hAnsi="Bookman Old Style"/>
          <w:sz w:val="24"/>
          <w:szCs w:val="24"/>
        </w:rPr>
        <w:br/>
        <w:t xml:space="preserve">(1) In response to a country identified under </w:t>
      </w:r>
      <w:r w:rsidR="00FF17C8">
        <w:rPr>
          <w:rFonts w:ascii="Bookman Old Style" w:hAnsi="Bookman Old Style"/>
          <w:sz w:val="24"/>
          <w:szCs w:val="24"/>
        </w:rPr>
        <w:t>sub-section (1) of s</w:t>
      </w:r>
      <w:r w:rsidR="00FF17C8" w:rsidRPr="005E344F">
        <w:rPr>
          <w:rFonts w:ascii="Bookman Old Style" w:hAnsi="Bookman Old Style"/>
          <w:sz w:val="24"/>
          <w:szCs w:val="24"/>
        </w:rPr>
        <w:t xml:space="preserve">ection </w:t>
      </w:r>
      <w:r>
        <w:rPr>
          <w:rFonts w:ascii="Bookman Old Style" w:hAnsi="Bookman Old Style"/>
          <w:sz w:val="24"/>
          <w:szCs w:val="24"/>
        </w:rPr>
        <w:t>51</w:t>
      </w:r>
      <w:r w:rsidRPr="005E344F">
        <w:rPr>
          <w:rFonts w:ascii="Bookman Old Style" w:hAnsi="Bookman Old Style"/>
          <w:sz w:val="24"/>
          <w:szCs w:val="24"/>
        </w:rPr>
        <w:t>:</w:t>
      </w:r>
      <w:r w:rsidRPr="005E344F">
        <w:rPr>
          <w:rFonts w:ascii="Bookman Old Style" w:hAnsi="Bookman Old Style"/>
          <w:sz w:val="24"/>
          <w:szCs w:val="24"/>
        </w:rPr>
        <w:br/>
        <w:t>(a) Persons domiciled in the identified country shall not be entitled to become members of the Institute or practice the actuarial profession within India.</w:t>
      </w:r>
      <w:r w:rsidRPr="005E344F">
        <w:rPr>
          <w:rFonts w:ascii="Bookman Old Style" w:hAnsi="Bookman Old Style"/>
          <w:sz w:val="24"/>
          <w:szCs w:val="24"/>
        </w:rPr>
        <w:br/>
        <w:t>(b) This restriction shall remain in effect until the Central Government determines that the discriminatory practices in the identified country have ceased.</w:t>
      </w:r>
    </w:p>
    <w:p w14:paraId="575F3167" w14:textId="5C1E3776" w:rsidR="00BB5E27" w:rsidRDefault="005E344F" w:rsidP="005E344F">
      <w:pPr>
        <w:numPr>
          <w:ilvl w:val="0"/>
          <w:numId w:val="2"/>
        </w:numPr>
        <w:rPr>
          <w:rFonts w:ascii="Bookman Old Style" w:hAnsi="Bookman Old Style"/>
          <w:sz w:val="24"/>
          <w:szCs w:val="24"/>
        </w:rPr>
      </w:pPr>
      <w:r w:rsidRPr="005E344F">
        <w:rPr>
          <w:rFonts w:ascii="Bookman Old Style" w:hAnsi="Bookman Old Style"/>
          <w:b/>
          <w:bCs/>
          <w:sz w:val="24"/>
          <w:szCs w:val="24"/>
        </w:rPr>
        <w:t>Recognition of Foreign Qualifications</w:t>
      </w:r>
      <w:r w:rsidR="00E74FDA">
        <w:rPr>
          <w:rFonts w:ascii="Bookman Old Style" w:hAnsi="Bookman Old Style"/>
          <w:b/>
          <w:bCs/>
          <w:sz w:val="24"/>
          <w:szCs w:val="24"/>
        </w:rPr>
        <w:t xml:space="preserve"> </w:t>
      </w:r>
      <w:r w:rsidR="00E74FDA" w:rsidRPr="00295C14">
        <w:rPr>
          <w:rFonts w:ascii="Bookman Old Style" w:hAnsi="Bookman Old Style"/>
          <w:b/>
          <w:bCs/>
          <w:sz w:val="24"/>
          <w:szCs w:val="24"/>
        </w:rPr>
        <w:t>for the purposes of entry in the register</w:t>
      </w:r>
      <w:r w:rsidRPr="005E344F">
        <w:rPr>
          <w:rFonts w:ascii="Bookman Old Style" w:hAnsi="Bookman Old Style"/>
          <w:b/>
          <w:bCs/>
          <w:sz w:val="24"/>
          <w:szCs w:val="24"/>
        </w:rPr>
        <w:t>.</w:t>
      </w:r>
      <w:r w:rsidRPr="005E344F">
        <w:rPr>
          <w:rFonts w:ascii="Bookman Old Style" w:hAnsi="Bookman Old Style"/>
          <w:sz w:val="24"/>
          <w:szCs w:val="24"/>
        </w:rPr>
        <w:br/>
      </w:r>
      <w:r w:rsidR="00BB5E27">
        <w:rPr>
          <w:rFonts w:ascii="Bookman Old Style" w:hAnsi="Bookman Old Style"/>
          <w:sz w:val="24"/>
          <w:szCs w:val="24"/>
        </w:rPr>
        <w:t xml:space="preserve">The following conditions shall </w:t>
      </w:r>
      <w:r w:rsidR="004668C7">
        <w:rPr>
          <w:rFonts w:ascii="Bookman Old Style" w:hAnsi="Bookman Old Style"/>
          <w:sz w:val="24"/>
          <w:szCs w:val="24"/>
        </w:rPr>
        <w:t xml:space="preserve">be </w:t>
      </w:r>
      <w:r w:rsidR="00BB5E27">
        <w:rPr>
          <w:rFonts w:ascii="Bookman Old Style" w:hAnsi="Bookman Old Style"/>
          <w:sz w:val="24"/>
          <w:szCs w:val="24"/>
        </w:rPr>
        <w:t xml:space="preserve">required to be met for </w:t>
      </w:r>
      <w:r w:rsidR="00FF0F53" w:rsidRPr="004375C3">
        <w:rPr>
          <w:rFonts w:ascii="Bookman Old Style" w:hAnsi="Bookman Old Style"/>
          <w:sz w:val="24"/>
          <w:szCs w:val="24"/>
        </w:rPr>
        <w:t xml:space="preserve">the recognition of </w:t>
      </w:r>
      <w:r w:rsidR="0092124C">
        <w:rPr>
          <w:rFonts w:ascii="Bookman Old Style" w:hAnsi="Bookman Old Style"/>
          <w:sz w:val="24"/>
          <w:szCs w:val="24"/>
        </w:rPr>
        <w:t>equivalent actuarial qualifications</w:t>
      </w:r>
      <w:r w:rsidR="00FF0F53" w:rsidRPr="004375C3">
        <w:rPr>
          <w:rFonts w:ascii="Bookman Old Style" w:hAnsi="Bookman Old Style"/>
          <w:sz w:val="24"/>
          <w:szCs w:val="24"/>
        </w:rPr>
        <w:t xml:space="preserve"> from other </w:t>
      </w:r>
      <w:r w:rsidR="00FF0F53">
        <w:rPr>
          <w:rFonts w:ascii="Bookman Old Style" w:hAnsi="Bookman Old Style"/>
          <w:sz w:val="24"/>
          <w:szCs w:val="24"/>
        </w:rPr>
        <w:t>foreign institution(s)</w:t>
      </w:r>
      <w:r w:rsidR="00BB5E27" w:rsidRPr="00295C14">
        <w:rPr>
          <w:rFonts w:ascii="Bookman Old Style" w:hAnsi="Bookman Old Style"/>
          <w:sz w:val="24"/>
          <w:szCs w:val="24"/>
        </w:rPr>
        <w:t xml:space="preserve"> for the purposes of entry in the register</w:t>
      </w:r>
      <w:r w:rsidR="00E74FDA">
        <w:rPr>
          <w:rFonts w:ascii="Bookman Old Style" w:hAnsi="Bookman Old Style"/>
          <w:sz w:val="24"/>
          <w:szCs w:val="24"/>
        </w:rPr>
        <w:t>.</w:t>
      </w:r>
    </w:p>
    <w:p w14:paraId="56B1D962" w14:textId="77777777" w:rsidR="00295C14" w:rsidRDefault="003012A3" w:rsidP="00295C14">
      <w:pPr>
        <w:pStyle w:val="ListParagraph"/>
        <w:numPr>
          <w:ilvl w:val="0"/>
          <w:numId w:val="5"/>
        </w:numPr>
        <w:jc w:val="both"/>
        <w:rPr>
          <w:rFonts w:ascii="Bookman Old Style" w:hAnsi="Bookman Old Style"/>
          <w:sz w:val="24"/>
          <w:szCs w:val="24"/>
        </w:rPr>
      </w:pPr>
      <w:r w:rsidRPr="00295C14">
        <w:rPr>
          <w:rFonts w:ascii="Bookman Old Style" w:hAnsi="Bookman Old Style"/>
          <w:sz w:val="24"/>
          <w:szCs w:val="24"/>
        </w:rPr>
        <w:t>The Institute shall satisfy itself on the equivalence of education &amp; examination requirements, professional requirements and work experience requirements, if any, with that of foreign institution(s) recognized by the relevant authority in its home country whose actuarial qualifications it intends to recognise, as it deems fit.</w:t>
      </w:r>
    </w:p>
    <w:p w14:paraId="6052472E" w14:textId="4F81A5CC" w:rsidR="00295C14" w:rsidRDefault="0092124C" w:rsidP="00295C14">
      <w:pPr>
        <w:pStyle w:val="ListParagraph"/>
        <w:numPr>
          <w:ilvl w:val="0"/>
          <w:numId w:val="5"/>
        </w:numPr>
        <w:jc w:val="both"/>
        <w:rPr>
          <w:rFonts w:ascii="Bookman Old Style" w:hAnsi="Bookman Old Style"/>
          <w:sz w:val="24"/>
          <w:szCs w:val="24"/>
        </w:rPr>
      </w:pPr>
      <w:r w:rsidRPr="00295C14">
        <w:rPr>
          <w:rFonts w:ascii="Bookman Old Style" w:hAnsi="Bookman Old Style"/>
          <w:sz w:val="24"/>
          <w:szCs w:val="24"/>
        </w:rPr>
        <w:t>There shall be mutual recognition of equivalent qualifications</w:t>
      </w:r>
      <w:r w:rsidR="001912AA" w:rsidRPr="00295C14">
        <w:rPr>
          <w:rFonts w:ascii="Bookman Old Style" w:hAnsi="Bookman Old Style"/>
          <w:sz w:val="24"/>
          <w:szCs w:val="24"/>
        </w:rPr>
        <w:t xml:space="preserve"> and there </w:t>
      </w:r>
      <w:r w:rsidRPr="00295C14">
        <w:rPr>
          <w:rFonts w:ascii="Bookman Old Style" w:hAnsi="Bookman Old Style"/>
          <w:sz w:val="24"/>
          <w:szCs w:val="24"/>
        </w:rPr>
        <w:t xml:space="preserve">shall be </w:t>
      </w:r>
      <w:r w:rsidR="00AB609F" w:rsidRPr="00295C14">
        <w:rPr>
          <w:rFonts w:ascii="Bookman Old Style" w:hAnsi="Bookman Old Style"/>
          <w:sz w:val="24"/>
          <w:szCs w:val="24"/>
        </w:rPr>
        <w:t>signed Mutual Recognition Agreement (MRA) with the Foreign Institution(s)</w:t>
      </w:r>
      <w:r w:rsidR="003012A3" w:rsidRPr="00295C14">
        <w:rPr>
          <w:rFonts w:ascii="Bookman Old Style" w:hAnsi="Bookman Old Style"/>
          <w:sz w:val="24"/>
          <w:szCs w:val="24"/>
        </w:rPr>
        <w:t>.</w:t>
      </w:r>
      <w:r w:rsidR="00295C14">
        <w:rPr>
          <w:rFonts w:ascii="Bookman Old Style" w:hAnsi="Bookman Old Style"/>
          <w:sz w:val="24"/>
          <w:szCs w:val="24"/>
        </w:rPr>
        <w:t xml:space="preserve"> </w:t>
      </w:r>
      <w:r w:rsidR="00BB5E27" w:rsidRPr="00295C14">
        <w:rPr>
          <w:rFonts w:ascii="Bookman Old Style" w:hAnsi="Bookman Old Style"/>
          <w:sz w:val="24"/>
          <w:szCs w:val="24"/>
        </w:rPr>
        <w:t>The MRA</w:t>
      </w:r>
      <w:r w:rsidR="00CC7EAE" w:rsidRPr="00295C14">
        <w:rPr>
          <w:rFonts w:ascii="Bookman Old Style" w:hAnsi="Bookman Old Style"/>
          <w:sz w:val="24"/>
          <w:szCs w:val="24"/>
        </w:rPr>
        <w:t>s</w:t>
      </w:r>
      <w:r w:rsidR="00BB5E27" w:rsidRPr="00295C14">
        <w:rPr>
          <w:rFonts w:ascii="Bookman Old Style" w:hAnsi="Bookman Old Style"/>
          <w:sz w:val="24"/>
          <w:szCs w:val="24"/>
        </w:rPr>
        <w:t xml:space="preserve"> shall specify the term and conditions for the mutual recognition of </w:t>
      </w:r>
      <w:r w:rsidR="00FF0F53" w:rsidRPr="00295C14">
        <w:rPr>
          <w:rFonts w:ascii="Bookman Old Style" w:hAnsi="Bookman Old Style"/>
          <w:sz w:val="24"/>
          <w:szCs w:val="24"/>
        </w:rPr>
        <w:t>equivalent qualifications</w:t>
      </w:r>
      <w:r w:rsidR="00CC7EAE" w:rsidRPr="00295C14">
        <w:rPr>
          <w:rFonts w:ascii="Bookman Old Style" w:hAnsi="Bookman Old Style"/>
          <w:sz w:val="24"/>
          <w:szCs w:val="24"/>
        </w:rPr>
        <w:t>.</w:t>
      </w:r>
    </w:p>
    <w:p w14:paraId="7C736F58" w14:textId="726B2604" w:rsidR="00295C14" w:rsidRPr="006E68F0" w:rsidRDefault="00FF0F53" w:rsidP="00295C14">
      <w:pPr>
        <w:pStyle w:val="ListParagraph"/>
        <w:numPr>
          <w:ilvl w:val="0"/>
          <w:numId w:val="5"/>
        </w:numPr>
        <w:jc w:val="both"/>
        <w:rPr>
          <w:rFonts w:ascii="Bookman Old Style" w:hAnsi="Bookman Old Style"/>
          <w:sz w:val="24"/>
          <w:szCs w:val="24"/>
        </w:rPr>
      </w:pPr>
      <w:r w:rsidRPr="00295C14">
        <w:rPr>
          <w:rFonts w:ascii="Bookman Old Style" w:hAnsi="Bookman Old Style"/>
          <w:sz w:val="24"/>
          <w:szCs w:val="24"/>
        </w:rPr>
        <w:lastRenderedPageBreak/>
        <w:t xml:space="preserve">The members admitted in the register under MRA </w:t>
      </w:r>
      <w:r w:rsidR="00CF79B5" w:rsidRPr="00295C14">
        <w:rPr>
          <w:rFonts w:ascii="Bookman Old Style" w:hAnsi="Bookman Old Style"/>
          <w:sz w:val="24"/>
          <w:szCs w:val="24"/>
        </w:rPr>
        <w:t xml:space="preserve">route </w:t>
      </w:r>
      <w:r w:rsidRPr="00295C14">
        <w:rPr>
          <w:rFonts w:ascii="Bookman Old Style" w:hAnsi="Bookman Old Style"/>
          <w:sz w:val="24"/>
          <w:szCs w:val="24"/>
        </w:rPr>
        <w:t xml:space="preserve">shall have the same rights, </w:t>
      </w:r>
      <w:r w:rsidR="00E74FDA" w:rsidRPr="00295C14">
        <w:rPr>
          <w:rFonts w:ascii="Bookman Old Style" w:hAnsi="Bookman Old Style"/>
          <w:sz w:val="24"/>
          <w:szCs w:val="24"/>
        </w:rPr>
        <w:t xml:space="preserve">recognition, </w:t>
      </w:r>
      <w:r w:rsidRPr="00295C14">
        <w:rPr>
          <w:rFonts w:ascii="Bookman Old Style" w:hAnsi="Bookman Old Style"/>
          <w:sz w:val="24"/>
          <w:szCs w:val="24"/>
        </w:rPr>
        <w:t>duties and obligations, as may from time to time be applicable to the other members of the Institute / Foreign Institution(s) and shall be subject to the same requirements as other members.</w:t>
      </w:r>
    </w:p>
    <w:p w14:paraId="3E56964E" w14:textId="77777777" w:rsidR="00295C14" w:rsidRDefault="00AB609F" w:rsidP="00AB609F">
      <w:pPr>
        <w:numPr>
          <w:ilvl w:val="0"/>
          <w:numId w:val="2"/>
        </w:numPr>
        <w:rPr>
          <w:rFonts w:ascii="Bookman Old Style" w:hAnsi="Bookman Old Style"/>
          <w:b/>
          <w:bCs/>
          <w:sz w:val="24"/>
          <w:szCs w:val="24"/>
        </w:rPr>
      </w:pPr>
      <w:r w:rsidRPr="00295C14">
        <w:rPr>
          <w:rFonts w:ascii="Bookman Old Style" w:hAnsi="Bookman Old Style"/>
          <w:b/>
          <w:bCs/>
          <w:sz w:val="24"/>
          <w:szCs w:val="24"/>
        </w:rPr>
        <w:t>Savings</w:t>
      </w:r>
      <w:r w:rsidR="00CF79B5" w:rsidRPr="00295C14">
        <w:rPr>
          <w:rFonts w:ascii="Bookman Old Style" w:hAnsi="Bookman Old Style"/>
          <w:b/>
          <w:bCs/>
          <w:sz w:val="24"/>
          <w:szCs w:val="24"/>
        </w:rPr>
        <w:t>:</w:t>
      </w:r>
    </w:p>
    <w:p w14:paraId="28A903D4" w14:textId="22CA1A10" w:rsidR="00AB609F" w:rsidRPr="00295C14" w:rsidRDefault="00AB609F" w:rsidP="00295C14">
      <w:pPr>
        <w:ind w:left="720"/>
        <w:rPr>
          <w:rFonts w:ascii="Bookman Old Style" w:hAnsi="Bookman Old Style"/>
          <w:b/>
          <w:bCs/>
          <w:sz w:val="24"/>
          <w:szCs w:val="24"/>
        </w:rPr>
      </w:pPr>
      <w:r w:rsidRPr="00295C14">
        <w:rPr>
          <w:rFonts w:ascii="Bookman Old Style" w:hAnsi="Bookman Old Style"/>
          <w:sz w:val="24"/>
          <w:szCs w:val="24"/>
        </w:rPr>
        <w:t xml:space="preserve">Nothing in these Regulations shall deem to invalidate the members admitted under MRA route and their rights, </w:t>
      </w:r>
      <w:r w:rsidR="00E74FDA" w:rsidRPr="00295C14">
        <w:rPr>
          <w:rFonts w:ascii="Bookman Old Style" w:hAnsi="Bookman Old Style"/>
          <w:sz w:val="24"/>
          <w:szCs w:val="24"/>
        </w:rPr>
        <w:t>recognition, duties and obligations,</w:t>
      </w:r>
      <w:r w:rsidRPr="00295C14">
        <w:rPr>
          <w:rFonts w:ascii="Bookman Old Style" w:hAnsi="Bookman Old Style"/>
          <w:sz w:val="24"/>
          <w:szCs w:val="24"/>
        </w:rPr>
        <w:t xml:space="preserve"> prior to these Regulations coming into force.</w:t>
      </w:r>
    </w:p>
    <w:p w14:paraId="5C5C9ADB" w14:textId="77777777" w:rsidR="00295C14" w:rsidRDefault="00CF79B5" w:rsidP="00295C14">
      <w:pPr>
        <w:numPr>
          <w:ilvl w:val="0"/>
          <w:numId w:val="2"/>
        </w:numPr>
        <w:rPr>
          <w:rFonts w:ascii="Bookman Old Style" w:hAnsi="Bookman Old Style"/>
          <w:b/>
          <w:bCs/>
          <w:sz w:val="24"/>
          <w:szCs w:val="24"/>
        </w:rPr>
      </w:pPr>
      <w:r w:rsidRPr="00295C14">
        <w:rPr>
          <w:rFonts w:ascii="Bookman Old Style" w:hAnsi="Bookman Old Style"/>
          <w:b/>
          <w:bCs/>
          <w:sz w:val="24"/>
          <w:szCs w:val="24"/>
        </w:rPr>
        <w:t>Power to Issue Clarifications:</w:t>
      </w:r>
    </w:p>
    <w:p w14:paraId="1172009A" w14:textId="0324DD46" w:rsidR="00CF79B5" w:rsidRPr="00295C14" w:rsidRDefault="00CF79B5" w:rsidP="00295C14">
      <w:pPr>
        <w:ind w:left="720"/>
        <w:jc w:val="both"/>
        <w:rPr>
          <w:rFonts w:ascii="Bookman Old Style" w:hAnsi="Bookman Old Style"/>
          <w:b/>
          <w:bCs/>
          <w:sz w:val="24"/>
          <w:szCs w:val="24"/>
        </w:rPr>
      </w:pPr>
      <w:r w:rsidRPr="00295C14">
        <w:rPr>
          <w:rFonts w:ascii="Bookman Old Style" w:hAnsi="Bookman Old Style"/>
          <w:sz w:val="24"/>
          <w:szCs w:val="24"/>
        </w:rPr>
        <w:t xml:space="preserve">In order to remove any difficulties in respect of the application or interpretation of any of the provisions of these Regulations, the </w:t>
      </w:r>
      <w:r w:rsidR="00D03309">
        <w:rPr>
          <w:rFonts w:ascii="Bookman Old Style" w:hAnsi="Bookman Old Style"/>
          <w:sz w:val="24"/>
          <w:szCs w:val="24"/>
        </w:rPr>
        <w:t>Council</w:t>
      </w:r>
      <w:r w:rsidRPr="00295C14">
        <w:rPr>
          <w:rFonts w:ascii="Bookman Old Style" w:hAnsi="Bookman Old Style"/>
          <w:sz w:val="24"/>
          <w:szCs w:val="24"/>
        </w:rPr>
        <w:t xml:space="preserve"> may issue appropriate circulars, clarifications or guidelines, as and when required.</w:t>
      </w:r>
    </w:p>
    <w:p w14:paraId="3294D17D" w14:textId="7704AA76" w:rsidR="00AB609F" w:rsidRPr="00295C14" w:rsidRDefault="00AB609F" w:rsidP="00295C14">
      <w:pPr>
        <w:ind w:left="720"/>
        <w:rPr>
          <w:rFonts w:ascii="Bookman Old Style" w:hAnsi="Bookman Old Style"/>
          <w:sz w:val="24"/>
          <w:szCs w:val="24"/>
        </w:rPr>
      </w:pPr>
    </w:p>
    <w:p w14:paraId="3EBB5C53" w14:textId="77777777" w:rsidR="003A2597" w:rsidRPr="005E344F" w:rsidRDefault="003A2597">
      <w:pPr>
        <w:rPr>
          <w:rFonts w:ascii="Bookman Old Style" w:hAnsi="Bookman Old Style"/>
          <w:sz w:val="24"/>
          <w:szCs w:val="24"/>
        </w:rPr>
      </w:pPr>
    </w:p>
    <w:sectPr w:rsidR="003A2597" w:rsidRPr="005E344F">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33D1FE" w14:textId="77777777" w:rsidR="00B93D83" w:rsidRDefault="00B93D83" w:rsidP="00A07AA4">
      <w:pPr>
        <w:spacing w:after="0" w:line="240" w:lineRule="auto"/>
      </w:pPr>
      <w:r>
        <w:separator/>
      </w:r>
    </w:p>
  </w:endnote>
  <w:endnote w:type="continuationSeparator" w:id="0">
    <w:p w14:paraId="35CA4D6E" w14:textId="77777777" w:rsidR="00B93D83" w:rsidRDefault="00B93D83" w:rsidP="00A07A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8768724"/>
      <w:docPartObj>
        <w:docPartGallery w:val="Page Numbers (Bottom of Page)"/>
        <w:docPartUnique/>
      </w:docPartObj>
    </w:sdtPr>
    <w:sdtContent>
      <w:sdt>
        <w:sdtPr>
          <w:id w:val="-1769616900"/>
          <w:docPartObj>
            <w:docPartGallery w:val="Page Numbers (Top of Page)"/>
            <w:docPartUnique/>
          </w:docPartObj>
        </w:sdtPr>
        <w:sdtContent>
          <w:p w14:paraId="0E65D6D0" w14:textId="1871A3C9" w:rsidR="00A07AA4" w:rsidRDefault="00A07AA4">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35D563C" w14:textId="77777777" w:rsidR="00A07AA4" w:rsidRDefault="00A07A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F40B60" w14:textId="77777777" w:rsidR="00B93D83" w:rsidRDefault="00B93D83" w:rsidP="00A07AA4">
      <w:pPr>
        <w:spacing w:after="0" w:line="240" w:lineRule="auto"/>
      </w:pPr>
      <w:r>
        <w:separator/>
      </w:r>
    </w:p>
  </w:footnote>
  <w:footnote w:type="continuationSeparator" w:id="0">
    <w:p w14:paraId="1A211F22" w14:textId="77777777" w:rsidR="00B93D83" w:rsidRDefault="00B93D83" w:rsidP="00A07A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37B98"/>
    <w:multiLevelType w:val="hybridMultilevel"/>
    <w:tmpl w:val="46467278"/>
    <w:lvl w:ilvl="0" w:tplc="40090017">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2A57569"/>
    <w:multiLevelType w:val="multilevel"/>
    <w:tmpl w:val="290E53BE"/>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33019F0"/>
    <w:multiLevelType w:val="multilevel"/>
    <w:tmpl w:val="290E53BE"/>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FB85050"/>
    <w:multiLevelType w:val="hybridMultilevel"/>
    <w:tmpl w:val="8F0E9458"/>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4" w15:restartNumberingAfterBreak="0">
    <w:nsid w:val="5C1D06E4"/>
    <w:multiLevelType w:val="hybridMultilevel"/>
    <w:tmpl w:val="692C18FE"/>
    <w:lvl w:ilvl="0" w:tplc="08E8F2FC">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5" w15:restartNumberingAfterBreak="0">
    <w:nsid w:val="6F2B0462"/>
    <w:multiLevelType w:val="hybridMultilevel"/>
    <w:tmpl w:val="AB8CB33E"/>
    <w:lvl w:ilvl="0" w:tplc="40090017">
      <w:start w:val="1"/>
      <w:numFmt w:val="lowerLetter"/>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7DDA754E"/>
    <w:multiLevelType w:val="multilevel"/>
    <w:tmpl w:val="079A19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46883618">
    <w:abstractNumId w:val="6"/>
  </w:num>
  <w:num w:numId="2" w16cid:durableId="1915819102">
    <w:abstractNumId w:val="1"/>
  </w:num>
  <w:num w:numId="3" w16cid:durableId="1878397383">
    <w:abstractNumId w:val="4"/>
  </w:num>
  <w:num w:numId="4" w16cid:durableId="1414736066">
    <w:abstractNumId w:val="2"/>
  </w:num>
  <w:num w:numId="5" w16cid:durableId="230311078">
    <w:abstractNumId w:val="3"/>
  </w:num>
  <w:num w:numId="6" w16cid:durableId="1890727756">
    <w:abstractNumId w:val="5"/>
  </w:num>
  <w:num w:numId="7" w16cid:durableId="9455781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CF9"/>
    <w:rsid w:val="00012FEC"/>
    <w:rsid w:val="000438E6"/>
    <w:rsid w:val="000F669C"/>
    <w:rsid w:val="001912AA"/>
    <w:rsid w:val="00295C14"/>
    <w:rsid w:val="002B521A"/>
    <w:rsid w:val="003012A3"/>
    <w:rsid w:val="00377567"/>
    <w:rsid w:val="003A2597"/>
    <w:rsid w:val="003B0D36"/>
    <w:rsid w:val="004668C7"/>
    <w:rsid w:val="005E344F"/>
    <w:rsid w:val="006613B4"/>
    <w:rsid w:val="006D7196"/>
    <w:rsid w:val="006E68F0"/>
    <w:rsid w:val="00721331"/>
    <w:rsid w:val="0092124C"/>
    <w:rsid w:val="009765EA"/>
    <w:rsid w:val="00A07AA4"/>
    <w:rsid w:val="00A91489"/>
    <w:rsid w:val="00AB609F"/>
    <w:rsid w:val="00B263DE"/>
    <w:rsid w:val="00B93D83"/>
    <w:rsid w:val="00BB5E27"/>
    <w:rsid w:val="00BC326F"/>
    <w:rsid w:val="00C36615"/>
    <w:rsid w:val="00C5631E"/>
    <w:rsid w:val="00C87120"/>
    <w:rsid w:val="00CC7EAE"/>
    <w:rsid w:val="00CF6416"/>
    <w:rsid w:val="00CF79B5"/>
    <w:rsid w:val="00D03309"/>
    <w:rsid w:val="00D16CF9"/>
    <w:rsid w:val="00D917A7"/>
    <w:rsid w:val="00D97CFB"/>
    <w:rsid w:val="00E74FDA"/>
    <w:rsid w:val="00EF6285"/>
    <w:rsid w:val="00F05401"/>
    <w:rsid w:val="00F073FA"/>
    <w:rsid w:val="00FB369B"/>
    <w:rsid w:val="00FC188E"/>
    <w:rsid w:val="00FF0F53"/>
    <w:rsid w:val="00FF17C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3DC7A"/>
  <w15:chartTrackingRefBased/>
  <w15:docId w15:val="{B4AAF9B5-02CB-443E-8149-2D466D0E5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36615"/>
    <w:rPr>
      <w:sz w:val="16"/>
      <w:szCs w:val="16"/>
    </w:rPr>
  </w:style>
  <w:style w:type="paragraph" w:styleId="CommentText">
    <w:name w:val="annotation text"/>
    <w:basedOn w:val="Normal"/>
    <w:link w:val="CommentTextChar"/>
    <w:uiPriority w:val="99"/>
    <w:unhideWhenUsed/>
    <w:rsid w:val="00C36615"/>
    <w:pPr>
      <w:spacing w:line="240" w:lineRule="auto"/>
    </w:pPr>
    <w:rPr>
      <w:sz w:val="20"/>
      <w:szCs w:val="20"/>
    </w:rPr>
  </w:style>
  <w:style w:type="character" w:customStyle="1" w:styleId="CommentTextChar">
    <w:name w:val="Comment Text Char"/>
    <w:basedOn w:val="DefaultParagraphFont"/>
    <w:link w:val="CommentText"/>
    <w:uiPriority w:val="99"/>
    <w:rsid w:val="00C36615"/>
    <w:rPr>
      <w:sz w:val="20"/>
      <w:szCs w:val="20"/>
    </w:rPr>
  </w:style>
  <w:style w:type="paragraph" w:styleId="CommentSubject">
    <w:name w:val="annotation subject"/>
    <w:basedOn w:val="CommentText"/>
    <w:next w:val="CommentText"/>
    <w:link w:val="CommentSubjectChar"/>
    <w:uiPriority w:val="99"/>
    <w:semiHidden/>
    <w:unhideWhenUsed/>
    <w:rsid w:val="00C36615"/>
    <w:rPr>
      <w:b/>
      <w:bCs/>
    </w:rPr>
  </w:style>
  <w:style w:type="character" w:customStyle="1" w:styleId="CommentSubjectChar">
    <w:name w:val="Comment Subject Char"/>
    <w:basedOn w:val="CommentTextChar"/>
    <w:link w:val="CommentSubject"/>
    <w:uiPriority w:val="99"/>
    <w:semiHidden/>
    <w:rsid w:val="00C36615"/>
    <w:rPr>
      <w:b/>
      <w:bCs/>
      <w:sz w:val="20"/>
      <w:szCs w:val="20"/>
    </w:rPr>
  </w:style>
  <w:style w:type="paragraph" w:styleId="Revision">
    <w:name w:val="Revision"/>
    <w:hidden/>
    <w:uiPriority w:val="99"/>
    <w:semiHidden/>
    <w:rsid w:val="00BB5E27"/>
    <w:pPr>
      <w:spacing w:after="0" w:line="240" w:lineRule="auto"/>
    </w:pPr>
  </w:style>
  <w:style w:type="paragraph" w:styleId="ListParagraph">
    <w:name w:val="List Paragraph"/>
    <w:basedOn w:val="Normal"/>
    <w:uiPriority w:val="34"/>
    <w:qFormat/>
    <w:rsid w:val="00BB5E27"/>
    <w:pPr>
      <w:ind w:left="720"/>
      <w:contextualSpacing/>
    </w:pPr>
  </w:style>
  <w:style w:type="paragraph" w:styleId="Header">
    <w:name w:val="header"/>
    <w:basedOn w:val="Normal"/>
    <w:link w:val="HeaderChar"/>
    <w:uiPriority w:val="99"/>
    <w:unhideWhenUsed/>
    <w:rsid w:val="00A07A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7AA4"/>
  </w:style>
  <w:style w:type="paragraph" w:styleId="Footer">
    <w:name w:val="footer"/>
    <w:basedOn w:val="Normal"/>
    <w:link w:val="FooterChar"/>
    <w:uiPriority w:val="99"/>
    <w:unhideWhenUsed/>
    <w:rsid w:val="00A07A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7AA4"/>
  </w:style>
  <w:style w:type="paragraph" w:styleId="BalloonText">
    <w:name w:val="Balloon Text"/>
    <w:basedOn w:val="Normal"/>
    <w:link w:val="BalloonTextChar"/>
    <w:uiPriority w:val="99"/>
    <w:semiHidden/>
    <w:unhideWhenUsed/>
    <w:rsid w:val="002B521A"/>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B521A"/>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2347607">
      <w:bodyDiv w:val="1"/>
      <w:marLeft w:val="0"/>
      <w:marRight w:val="0"/>
      <w:marTop w:val="0"/>
      <w:marBottom w:val="0"/>
      <w:divBdr>
        <w:top w:val="none" w:sz="0" w:space="0" w:color="auto"/>
        <w:left w:val="none" w:sz="0" w:space="0" w:color="auto"/>
        <w:bottom w:val="none" w:sz="0" w:space="0" w:color="auto"/>
        <w:right w:val="none" w:sz="0" w:space="0" w:color="auto"/>
      </w:divBdr>
    </w:div>
    <w:div w:id="955480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634</Words>
  <Characters>3615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Yogesh Pandit - Assistant General Manager</dc:creator>
  <cp:keywords/>
  <dc:description/>
  <cp:lastModifiedBy>Yogesh Pandit - Assistant General Manager</cp:lastModifiedBy>
  <cp:revision>4</cp:revision>
  <dcterms:created xsi:type="dcterms:W3CDTF">2024-03-14T14:54:00Z</dcterms:created>
  <dcterms:modified xsi:type="dcterms:W3CDTF">2024-03-14T14:55:00Z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f1469a-2c2a-4aee-b92b-090d4c5468ff_Enabled">
    <vt:lpwstr>true</vt:lpwstr>
  </property>
  <property fmtid="{D5CDD505-2E9C-101B-9397-08002B2CF9AE}" pid="3" name="MSIP_Label_38f1469a-2c2a-4aee-b92b-090d4c5468ff_SetDate">
    <vt:lpwstr>2023-10-25T09:27:15Z</vt:lpwstr>
  </property>
  <property fmtid="{D5CDD505-2E9C-101B-9397-08002B2CF9AE}" pid="4" name="MSIP_Label_38f1469a-2c2a-4aee-b92b-090d4c5468ff_Method">
    <vt:lpwstr>Standard</vt:lpwstr>
  </property>
  <property fmtid="{D5CDD505-2E9C-101B-9397-08002B2CF9AE}" pid="5" name="MSIP_Label_38f1469a-2c2a-4aee-b92b-090d4c5468ff_Name">
    <vt:lpwstr>Confidential - Unmarked</vt:lpwstr>
  </property>
  <property fmtid="{D5CDD505-2E9C-101B-9397-08002B2CF9AE}" pid="6" name="MSIP_Label_38f1469a-2c2a-4aee-b92b-090d4c5468ff_SiteId">
    <vt:lpwstr>2a6e6092-73e4-4752-b1a5-477a17f5056d</vt:lpwstr>
  </property>
  <property fmtid="{D5CDD505-2E9C-101B-9397-08002B2CF9AE}" pid="7" name="MSIP_Label_38f1469a-2c2a-4aee-b92b-090d4c5468ff_ActionId">
    <vt:lpwstr>088cad07-4252-4a28-98d1-2c6bc6858396</vt:lpwstr>
  </property>
  <property fmtid="{D5CDD505-2E9C-101B-9397-08002B2CF9AE}" pid="8" name="MSIP_Label_38f1469a-2c2a-4aee-b92b-090d4c5468ff_ContentBits">
    <vt:lpwstr>0</vt:lpwstr>
  </property>
</Properties>
</file>